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C70AD0" w14:textId="77777777" w:rsidR="00A1196C" w:rsidRPr="0081183C" w:rsidRDefault="00A1196C" w:rsidP="00A1196C">
      <w:pPr>
        <w:jc w:val="both"/>
        <w:rPr>
          <w:rFonts w:ascii="Bahnschrift" w:hAnsi="Bahnschrift"/>
          <w:b/>
          <w:bCs/>
          <w:i/>
          <w:iCs/>
          <w:sz w:val="20"/>
          <w:szCs w:val="20"/>
          <w:lang w:val="en-GB"/>
        </w:rPr>
      </w:pPr>
    </w:p>
    <w:p w14:paraId="24161EEE" w14:textId="77777777" w:rsidR="00C43F06" w:rsidRDefault="00A1196C" w:rsidP="00A1196C">
      <w:pPr>
        <w:jc w:val="both"/>
        <w:rPr>
          <w:rFonts w:ascii="Bahnschrift" w:hAnsi="Bahnschrift"/>
          <w:b/>
          <w:bCs/>
          <w:i/>
          <w:iCs/>
          <w:sz w:val="20"/>
          <w:szCs w:val="20"/>
          <w:lang w:val="en-GB"/>
        </w:rPr>
      </w:pP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Pr="0081183C">
        <w:rPr>
          <w:rFonts w:ascii="Bahnschrift" w:hAnsi="Bahnschrift"/>
          <w:b/>
          <w:bCs/>
          <w:i/>
          <w:iCs/>
          <w:sz w:val="20"/>
          <w:szCs w:val="20"/>
          <w:lang w:val="en-GB"/>
        </w:rPr>
        <w:tab/>
      </w:r>
      <w:r w:rsidR="00B26739" w:rsidRPr="0081183C">
        <w:rPr>
          <w:rFonts w:ascii="Bahnschrift" w:hAnsi="Bahnschrift"/>
          <w:b/>
          <w:bCs/>
          <w:i/>
          <w:iCs/>
          <w:sz w:val="20"/>
          <w:szCs w:val="20"/>
          <w:lang w:val="en-GB"/>
        </w:rPr>
        <w:tab/>
      </w:r>
    </w:p>
    <w:p w14:paraId="3D7584C1" w14:textId="6371A5FA" w:rsidR="00A1196C" w:rsidRPr="0081183C" w:rsidRDefault="00A1196C" w:rsidP="00C43F06">
      <w:pPr>
        <w:jc w:val="right"/>
        <w:rPr>
          <w:rFonts w:ascii="Bahnschrift" w:hAnsi="Bahnschrift"/>
          <w:b/>
          <w:bCs/>
          <w:i/>
          <w:iCs/>
          <w:sz w:val="20"/>
          <w:szCs w:val="20"/>
        </w:rPr>
      </w:pPr>
      <w:r w:rsidRPr="0081183C">
        <w:rPr>
          <w:rFonts w:ascii="Bahnschrift" w:hAnsi="Bahnschrift"/>
          <w:b/>
          <w:bCs/>
          <w:i/>
          <w:iCs/>
          <w:sz w:val="20"/>
          <w:szCs w:val="20"/>
        </w:rPr>
        <w:t>Krak</w:t>
      </w:r>
      <w:r w:rsidR="0081183C" w:rsidRPr="0081183C">
        <w:rPr>
          <w:rFonts w:ascii="Bahnschrift" w:hAnsi="Bahnschrift"/>
          <w:b/>
          <w:bCs/>
          <w:i/>
          <w:iCs/>
          <w:sz w:val="20"/>
          <w:szCs w:val="20"/>
        </w:rPr>
        <w:t>ó</w:t>
      </w:r>
      <w:r w:rsidRPr="0081183C">
        <w:rPr>
          <w:rFonts w:ascii="Bahnschrift" w:hAnsi="Bahnschrift"/>
          <w:b/>
          <w:bCs/>
          <w:i/>
          <w:iCs/>
          <w:sz w:val="20"/>
          <w:szCs w:val="20"/>
        </w:rPr>
        <w:t xml:space="preserve">w, </w:t>
      </w:r>
      <w:r w:rsidR="0081183C" w:rsidRPr="0081183C">
        <w:rPr>
          <w:rFonts w:ascii="Bahnschrift" w:hAnsi="Bahnschrift"/>
          <w:b/>
          <w:bCs/>
          <w:i/>
          <w:iCs/>
          <w:sz w:val="20"/>
          <w:szCs w:val="20"/>
        </w:rPr>
        <w:t>2</w:t>
      </w:r>
      <w:r w:rsidR="00212841">
        <w:rPr>
          <w:rFonts w:ascii="Bahnschrift" w:hAnsi="Bahnschrift"/>
          <w:b/>
          <w:bCs/>
          <w:i/>
          <w:iCs/>
          <w:sz w:val="20"/>
          <w:szCs w:val="20"/>
        </w:rPr>
        <w:t>8</w:t>
      </w:r>
      <w:r w:rsidR="0081183C" w:rsidRPr="0081183C">
        <w:rPr>
          <w:rFonts w:ascii="Bahnschrift" w:hAnsi="Bahnschrift"/>
          <w:b/>
          <w:bCs/>
          <w:i/>
          <w:iCs/>
          <w:sz w:val="20"/>
          <w:szCs w:val="20"/>
        </w:rPr>
        <w:t xml:space="preserve"> maja </w:t>
      </w:r>
      <w:r w:rsidRPr="0081183C">
        <w:rPr>
          <w:rFonts w:ascii="Bahnschrift" w:hAnsi="Bahnschrift"/>
          <w:b/>
          <w:bCs/>
          <w:i/>
          <w:iCs/>
          <w:sz w:val="20"/>
          <w:szCs w:val="20"/>
        </w:rPr>
        <w:t>2024</w:t>
      </w:r>
      <w:r w:rsidR="0081183C" w:rsidRPr="0081183C">
        <w:rPr>
          <w:rFonts w:ascii="Bahnschrift" w:hAnsi="Bahnschrift"/>
          <w:b/>
          <w:bCs/>
          <w:i/>
          <w:iCs/>
          <w:sz w:val="20"/>
          <w:szCs w:val="20"/>
        </w:rPr>
        <w:t xml:space="preserve"> roku</w:t>
      </w:r>
    </w:p>
    <w:p w14:paraId="4E27C47E" w14:textId="77777777" w:rsidR="0081183C" w:rsidRPr="0081183C" w:rsidRDefault="0081183C" w:rsidP="0081183C">
      <w:pPr>
        <w:jc w:val="both"/>
        <w:rPr>
          <w:rFonts w:ascii="Bahnschrift" w:hAnsi="Bahnschrift"/>
          <w:b/>
          <w:bCs/>
          <w:i/>
          <w:iCs/>
        </w:rPr>
      </w:pPr>
      <w:r w:rsidRPr="0081183C">
        <w:rPr>
          <w:rFonts w:ascii="Bahnschrift" w:hAnsi="Bahnschrift"/>
          <w:b/>
          <w:bCs/>
          <w:i/>
          <w:iCs/>
        </w:rPr>
        <w:t>Szanowni Goście, Uczestnicy i Prelegenci!</w:t>
      </w:r>
    </w:p>
    <w:p w14:paraId="0C52AB4F" w14:textId="77777777" w:rsidR="00212841" w:rsidRDefault="0081183C" w:rsidP="00212841">
      <w:pPr>
        <w:jc w:val="both"/>
        <w:rPr>
          <w:rFonts w:ascii="Bahnschrift" w:hAnsi="Bahnschrift"/>
          <w:b/>
          <w:bCs/>
        </w:rPr>
      </w:pPr>
      <w:r>
        <w:rPr>
          <w:rFonts w:ascii="Bahnschrift" w:hAnsi="Bahnschrift"/>
        </w:rPr>
        <w:br/>
      </w:r>
    </w:p>
    <w:p w14:paraId="18DD0759" w14:textId="19F94ED9" w:rsidR="00212841" w:rsidRPr="00212841" w:rsidRDefault="00212841" w:rsidP="00212841">
      <w:pPr>
        <w:jc w:val="both"/>
        <w:rPr>
          <w:rFonts w:ascii="Bahnschrift" w:hAnsi="Bahnschrift"/>
          <w:b/>
          <w:bCs/>
        </w:rPr>
      </w:pPr>
      <w:r w:rsidRPr="00212841">
        <w:rPr>
          <w:rFonts w:ascii="Bahnschrift" w:hAnsi="Bahnschrift"/>
          <w:b/>
          <w:bCs/>
        </w:rPr>
        <w:t>Podsumowanie tegorocznej edycji Konferencji CMQ2024</w:t>
      </w:r>
    </w:p>
    <w:p w14:paraId="726FA058" w14:textId="77777777" w:rsidR="00212841" w:rsidRPr="00212841" w:rsidRDefault="00212841" w:rsidP="00212841">
      <w:pPr>
        <w:jc w:val="both"/>
        <w:rPr>
          <w:rFonts w:ascii="Bahnschrift" w:hAnsi="Bahnschrift"/>
        </w:rPr>
      </w:pPr>
      <w:r w:rsidRPr="00212841">
        <w:rPr>
          <w:rFonts w:ascii="Bahnschrift" w:hAnsi="Bahnschrift"/>
        </w:rPr>
        <w:t xml:space="preserve">XVI Międzynarodowa Konferencja Kolegium Nauk o Zarządzaniu i Jakości dobiegła końca, stanowiąc kolejny znaczący kamień milowy w ciągłym dialogu między uniwersytetem, biznesem i zarządzaniem. Konferencja, zorganizowana przez Kolegium Nauk o Zarządzaniu i Jakości Uniwersytetu Ekonomicznego w Krakowie we współpracy z międzynarodowymi partnerami z Uniwersytetu Katolickiego w Avila, Hiszpania, oraz Uniwersytetu w Messynie, Włochy, umożliwiła żywą wymianę idei pod hasłem „Wiedza-Gospodarka-Społeczeństwo”. </w:t>
      </w:r>
    </w:p>
    <w:p w14:paraId="3F6746F5" w14:textId="77777777" w:rsidR="00212841" w:rsidRPr="00212841" w:rsidRDefault="00212841" w:rsidP="00212841">
      <w:pPr>
        <w:jc w:val="both"/>
        <w:rPr>
          <w:rFonts w:ascii="Bahnschrift" w:hAnsi="Bahnschrift"/>
        </w:rPr>
      </w:pPr>
      <w:r w:rsidRPr="00212841">
        <w:rPr>
          <w:rFonts w:ascii="Bahnschrift" w:hAnsi="Bahnschrift"/>
        </w:rPr>
        <w:t xml:space="preserve">Podczas konferencji naukowcy z międzynarodowej społeczności oraz przedstawiciele biznesu krajowego i zagranicznego angażowali się w innowacyjne dyskusje. Nasze rozmowy skupiały się na zarządzaniu Gospodarką 4.0, finansami i controllingiem, integrując społeczności akademickie z uczelni krajowych i międzynarodowych. Omówiono szeroki zakres tematów, w tym sztuczną inteligencję, zrównoważony rozwój społeczno-gospodarczy oraz strategie zarządzania specyficzne dla różnych sektorów, m.in. zarządzanie teatrem lub zarządzanie sportem, przygotowując grunt pod przyszłą współpracę akademicką i biznesową. Tematy zogniskowane wokół społeczeństwa jako ogółu ale i jednostki znalazły swoje odzwierciedlenie w neuroróżnorodności i Silver Economy.  </w:t>
      </w:r>
    </w:p>
    <w:p w14:paraId="7819E98F" w14:textId="77777777" w:rsidR="00212841" w:rsidRPr="00212841" w:rsidRDefault="00212841" w:rsidP="00212841">
      <w:pPr>
        <w:jc w:val="both"/>
        <w:rPr>
          <w:rFonts w:ascii="Bahnschrift" w:hAnsi="Bahnschrift"/>
        </w:rPr>
      </w:pPr>
      <w:r w:rsidRPr="00212841">
        <w:rPr>
          <w:rFonts w:ascii="Bahnschrift" w:hAnsi="Bahnschrift"/>
        </w:rPr>
        <w:t>Konferencja nie tylko prezentowała najnowsze trendy, ale również miała na celu wspieranie i rozpowszechnianie wyników badań naukowych, rozwijanie współpracy między biznesem a nauką oraz badanie możliwości komercjalizacji badań naukowych. Nasze sesje stworzyły cenne możliwości dialogu między naukowcami a profesjonalistami biznesowymi, przyczyniając się do głębszego zrozumienia ekonomicznych i zarządczych krajobrazów.</w:t>
      </w:r>
    </w:p>
    <w:p w14:paraId="586DA3AB" w14:textId="5A82AC52" w:rsidR="00212841" w:rsidRPr="00212841" w:rsidRDefault="00212841" w:rsidP="00212841">
      <w:pPr>
        <w:jc w:val="both"/>
        <w:rPr>
          <w:rFonts w:ascii="Bahnschrift" w:hAnsi="Bahnschrift"/>
        </w:rPr>
      </w:pPr>
      <w:r w:rsidRPr="00212841">
        <w:rPr>
          <w:rFonts w:ascii="Bahnschrift" w:hAnsi="Bahnschrift"/>
        </w:rPr>
        <w:t>Oczekując na przyszłe edycje, zachęcam wszystkich uczestników do dalszego dzielenia się swoimi kontaktami naukowymi i biznesowymi oraz innowacyjnymi pomysłami. Jestem zainteresowany współpracą w celu rozszerzenia naszej oferty konferencyjnej. Przekonani o wartości i wpływie naszych dyskusji, przewidujemy, że część obrad konferencyjnych na stałe przejdzie do sieci, co zwiększy jej dostępność i zaangażowanie. Przyszłoroczna edycja konferencji CMQ2025, podczas której Uniwersytet Ekonomiczny w Krakowie będzie obchodził swoje stulecie, będzie miała charakter hybrydowy.</w:t>
      </w:r>
    </w:p>
    <w:p w14:paraId="5CF9A23D" w14:textId="77777777" w:rsidR="00212841" w:rsidRDefault="00212841">
      <w:pPr>
        <w:suppressAutoHyphens w:val="0"/>
        <w:spacing w:after="0" w:line="240" w:lineRule="auto"/>
        <w:rPr>
          <w:rFonts w:ascii="Bahnschrift" w:hAnsi="Bahnschrift"/>
          <w:b/>
          <w:bCs/>
          <w:u w:val="single"/>
        </w:rPr>
      </w:pPr>
      <w:r>
        <w:rPr>
          <w:rFonts w:ascii="Bahnschrift" w:hAnsi="Bahnschrift"/>
          <w:b/>
          <w:bCs/>
          <w:u w:val="single"/>
        </w:rPr>
        <w:br w:type="page"/>
      </w:r>
    </w:p>
    <w:p w14:paraId="0E71F99E" w14:textId="77777777" w:rsidR="00212841" w:rsidRDefault="00212841" w:rsidP="00212841">
      <w:pPr>
        <w:jc w:val="both"/>
        <w:rPr>
          <w:rFonts w:ascii="Bahnschrift" w:hAnsi="Bahnschrift"/>
          <w:b/>
          <w:bCs/>
          <w:u w:val="single"/>
        </w:rPr>
      </w:pPr>
    </w:p>
    <w:p w14:paraId="012CBBFB" w14:textId="6219AF96" w:rsidR="00212841" w:rsidRPr="00212841" w:rsidRDefault="00212841" w:rsidP="00212841">
      <w:pPr>
        <w:jc w:val="both"/>
        <w:rPr>
          <w:rFonts w:ascii="Bahnschrift" w:hAnsi="Bahnschrift"/>
          <w:b/>
          <w:bCs/>
          <w:u w:val="single"/>
        </w:rPr>
      </w:pPr>
      <w:r w:rsidRPr="00212841">
        <w:rPr>
          <w:rFonts w:ascii="Bahnschrift" w:hAnsi="Bahnschrift"/>
          <w:b/>
          <w:bCs/>
          <w:u w:val="single"/>
        </w:rPr>
        <w:t>Wyjątkowość tegorocznej edycji CMQ2024</w:t>
      </w:r>
    </w:p>
    <w:p w14:paraId="2C342C08" w14:textId="77777777" w:rsidR="00212841" w:rsidRPr="00212841" w:rsidRDefault="00212841" w:rsidP="00212841">
      <w:pPr>
        <w:jc w:val="both"/>
        <w:rPr>
          <w:rStyle w:val="Pogrubienie"/>
          <w:rFonts w:ascii="Bahnschrift" w:hAnsi="Bahnschrift" w:cstheme="minorHAnsi"/>
          <w:color w:val="000000"/>
          <w:shd w:val="clear" w:color="auto" w:fill="FFFFFF"/>
        </w:rPr>
      </w:pPr>
      <w:r w:rsidRPr="00212841">
        <w:rPr>
          <w:rFonts w:ascii="Bahnschrift" w:hAnsi="Bahnschrift"/>
        </w:rPr>
        <w:t>Podczas tegorocznej konferencji zorganizowanej przez Kolegium Nauk o Zarządzaniu i Jakości Uniwersytetu Ekonomicznego w Krakowie kontynuowaliśmy tematykę, która towarzyszyła nam w ubiegłorocznej edycji a także pojawiły się nowe, interesujące tematy, które przyciągnęły uwagę uczestników: z</w:t>
      </w:r>
      <w:r w:rsidRPr="00212841">
        <w:rPr>
          <w:rStyle w:val="Pogrubienie"/>
          <w:rFonts w:ascii="Bahnschrift" w:hAnsi="Bahnschrift" w:cstheme="minorHAnsi"/>
          <w:color w:val="000000"/>
          <w:shd w:val="clear" w:color="auto" w:fill="FFFFFF"/>
        </w:rPr>
        <w:t>arządzanie sportem i zarządzanie środowiskowe.</w:t>
      </w:r>
    </w:p>
    <w:p w14:paraId="6889E9F3" w14:textId="77777777" w:rsidR="00212841" w:rsidRPr="00212841" w:rsidRDefault="00212841" w:rsidP="00212841">
      <w:pPr>
        <w:jc w:val="both"/>
        <w:rPr>
          <w:rFonts w:ascii="Bahnschrift" w:hAnsi="Bahnschrift"/>
        </w:rPr>
      </w:pPr>
      <w:r w:rsidRPr="00212841">
        <w:rPr>
          <w:rFonts w:ascii="Bahnschrift" w:hAnsi="Bahnschrift"/>
        </w:rPr>
        <w:t>Zarzadzanie, będące DNA naszego Kolegium, w  bieżącej edycji potraktowane zostało bardzo szeroko, a szczególny nacisk położony został na zarządzanie kapitałem ludzkim, informacją i wiedzą. Omówiliśmy także zarządzanie ryzykiem, jakością oraz produktami, co umożliwiło uczestnikom zgłębienie zarówno teoretycznych, jak i praktycznych aspektów zarządzania w różnorodnych kontekstach organizacyjnych. W ramach konferencji odbyły się panele skupiające się na zarządzaniu w specjalistycznych sektorach, zarówno w przedsiębiorstwach publicznych jak i prywatnych. Ciekawe dyskusje uwydatniły specyficzne wyzwania zarządzania w tych obszarach, dostarczając uczestnikom praktycznych narzędzi do ich przezwyciężania.</w:t>
      </w:r>
    </w:p>
    <w:p w14:paraId="0DE0F9B7" w14:textId="77777777" w:rsidR="00212841" w:rsidRPr="00212841" w:rsidRDefault="00212841" w:rsidP="00212841">
      <w:pPr>
        <w:jc w:val="both"/>
        <w:rPr>
          <w:rFonts w:ascii="Bahnschrift" w:hAnsi="Bahnschrift"/>
        </w:rPr>
      </w:pPr>
      <w:r w:rsidRPr="00212841">
        <w:rPr>
          <w:rFonts w:ascii="Bahnschrift" w:hAnsi="Bahnschrift"/>
        </w:rPr>
        <w:t xml:space="preserve">Panel ekspercki skoncentrowany na tematyce </w:t>
      </w:r>
      <w:r w:rsidRPr="00212841">
        <w:rPr>
          <w:rFonts w:ascii="Bahnschrift" w:hAnsi="Bahnschrift"/>
          <w:b/>
          <w:bCs/>
          <w:i/>
          <w:iCs/>
        </w:rPr>
        <w:t>zarządzania teatrem</w:t>
      </w:r>
      <w:r w:rsidRPr="00212841">
        <w:rPr>
          <w:rFonts w:ascii="Bahnschrift" w:hAnsi="Bahnschrift"/>
        </w:rPr>
        <w:t xml:space="preserve"> przyciągnął liczne grono uczestników, którzy z zainteresowaniem śledzili debatę na temat nowoczesnych metod zarządzania w tej dziedzinie sztuki. Teatr jako instytucja sztuk scenicznych staje przed wyzwaniami zarządzania i musi sprostać oczekiwaniom zarówno lokalnym, jak i globalnym. Problem umiędzynarodowienia teatru, wymagający integracji różnorodnych tradycji kulturowych, jest dużym wyzwaniem.</w:t>
      </w:r>
    </w:p>
    <w:p w14:paraId="0AD8A8F7" w14:textId="77777777" w:rsidR="00212841" w:rsidRPr="00212841" w:rsidRDefault="00212841" w:rsidP="00212841">
      <w:pPr>
        <w:jc w:val="both"/>
        <w:rPr>
          <w:rFonts w:ascii="Bahnschrift" w:hAnsi="Bahnschrift"/>
        </w:rPr>
      </w:pPr>
      <w:r w:rsidRPr="00212841">
        <w:rPr>
          <w:rFonts w:ascii="Bahnschrift" w:hAnsi="Bahnschrift"/>
          <w:b/>
          <w:bCs/>
          <w:i/>
          <w:iCs/>
        </w:rPr>
        <w:t>Tworzenie wartości w relacji z klientem</w:t>
      </w:r>
      <w:r w:rsidRPr="00212841">
        <w:rPr>
          <w:rFonts w:ascii="Bahnschrift" w:hAnsi="Bahnschrift"/>
        </w:rPr>
        <w:t xml:space="preserve"> to cel kolejnego panelu, w którym skupiono się na problemach współpracy z klientami, w tym na poznawaniu i kształtowaniu ich potrzeb oraz tworzeniu wartości, satysfakcji i dobrych relacji. Prelegenci omówili, jak tworzyć wartość dla współczesnego klienta, co wpływa na jego satysfakcję oraz jakie są główne czynniki lojalności klientów wobec marek i produktów. </w:t>
      </w:r>
    </w:p>
    <w:p w14:paraId="34D6CA26" w14:textId="77777777" w:rsidR="00212841" w:rsidRPr="00212841" w:rsidRDefault="00212841" w:rsidP="00212841">
      <w:pPr>
        <w:jc w:val="both"/>
        <w:rPr>
          <w:rFonts w:ascii="Bahnschrift" w:hAnsi="Bahnschrift"/>
        </w:rPr>
      </w:pPr>
      <w:r w:rsidRPr="00212841">
        <w:rPr>
          <w:rFonts w:ascii="Bahnschrift" w:hAnsi="Bahnschrift"/>
          <w:b/>
          <w:bCs/>
          <w:i/>
          <w:iCs/>
        </w:rPr>
        <w:t>ESG, niefinansowe wskaźniki przedsiębiorstw</w:t>
      </w:r>
      <w:r w:rsidRPr="00212841">
        <w:rPr>
          <w:rFonts w:ascii="Bahnschrift" w:hAnsi="Bahnschrift"/>
        </w:rPr>
        <w:t>, które już w bieżącym roku, za rok poprzedni ujawniać będą największe przedsiębiorstwa w Polsce - to nowy obowiązek gospodarczy, który w przyszłości obejmie swoim zasięgiem wszystkie podmioty; ESG to również tematyka zrównoważonego rozwoju, który, rozumiany jako innowacje i sustainability, był ważnym elementem naszego programu. Dyskusje koncentrowały się na wpływie nowych technologii na rachunkowość i finanse w kontekście ESG, gdzie rozważano zarówno korzyści, jak i potencjalne zagrożenia wynikające z automatyzacji i digitalizacji.</w:t>
      </w:r>
    </w:p>
    <w:p w14:paraId="2F15D30C" w14:textId="77777777" w:rsidR="00212841" w:rsidRPr="00212841" w:rsidRDefault="00212841" w:rsidP="00212841">
      <w:pPr>
        <w:jc w:val="both"/>
        <w:rPr>
          <w:rFonts w:ascii="Bahnschrift" w:hAnsi="Bahnschrift"/>
        </w:rPr>
      </w:pPr>
      <w:r w:rsidRPr="00212841">
        <w:rPr>
          <w:rFonts w:ascii="Bahnschrift" w:hAnsi="Bahnschrift"/>
        </w:rPr>
        <w:t xml:space="preserve">Ponadto, poruszono problematykę </w:t>
      </w:r>
      <w:r w:rsidRPr="00212841">
        <w:rPr>
          <w:rFonts w:ascii="Bahnschrift" w:hAnsi="Bahnschrift"/>
          <w:b/>
          <w:bCs/>
          <w:i/>
          <w:iCs/>
        </w:rPr>
        <w:t>rynku pracy w kontekście globalnych zmian</w:t>
      </w:r>
      <w:r w:rsidRPr="00212841">
        <w:rPr>
          <w:rFonts w:ascii="Bahnschrift" w:hAnsi="Bahnschrift"/>
        </w:rPr>
        <w:t xml:space="preserve"> gospodarczych, gdzie eksperci zastanawiali się nad wpływem migracji, zmian w płacy minimalnej i automatyzacji na sektor turystyczny i inne branże. Dyskutowano o rosnącym fenomenie </w:t>
      </w:r>
      <w:r w:rsidRPr="00212841">
        <w:rPr>
          <w:rFonts w:ascii="Bahnschrift" w:hAnsi="Bahnschrift"/>
          <w:b/>
          <w:bCs/>
          <w:i/>
          <w:iCs/>
        </w:rPr>
        <w:t>'worcation'</w:t>
      </w:r>
      <w:r w:rsidRPr="00212841">
        <w:rPr>
          <w:rFonts w:ascii="Bahnschrift" w:hAnsi="Bahnschrift"/>
        </w:rPr>
        <w:t xml:space="preserve">, czyli połączeniu pracy zdalnej z podróżowaniem, co stawia nowe wymagania przed pracodawcami i miejscami turystycznymi. </w:t>
      </w:r>
    </w:p>
    <w:p w14:paraId="2194DCF0" w14:textId="77777777" w:rsidR="00212841" w:rsidRDefault="00212841" w:rsidP="00212841">
      <w:pPr>
        <w:jc w:val="both"/>
        <w:rPr>
          <w:rFonts w:ascii="Bahnschrift" w:hAnsi="Bahnschrift"/>
        </w:rPr>
      </w:pPr>
    </w:p>
    <w:p w14:paraId="734E3285" w14:textId="4581D9FF" w:rsidR="00212841" w:rsidRPr="00212841" w:rsidRDefault="00212841" w:rsidP="00212841">
      <w:pPr>
        <w:spacing w:after="120"/>
        <w:jc w:val="both"/>
        <w:rPr>
          <w:rFonts w:ascii="Bahnschrift" w:hAnsi="Bahnschrift"/>
        </w:rPr>
      </w:pPr>
      <w:r w:rsidRPr="00212841">
        <w:rPr>
          <w:rFonts w:ascii="Bahnschrift" w:hAnsi="Bahnschrift"/>
        </w:rPr>
        <w:t xml:space="preserve">Kolejny panel dyskusyjny zgormadzonych ekspertów wokół dyskusji o rynku pracy i przedsiębiorczości dotyczył grupy wiekowej seniorów, czyli </w:t>
      </w:r>
      <w:r w:rsidRPr="00212841">
        <w:rPr>
          <w:rFonts w:ascii="Bahnschrift" w:hAnsi="Bahnschrift"/>
          <w:b/>
          <w:bCs/>
          <w:i/>
          <w:iCs/>
        </w:rPr>
        <w:t>Silver Economy</w:t>
      </w:r>
      <w:r w:rsidRPr="00212841">
        <w:rPr>
          <w:rFonts w:ascii="Bahnschrift" w:hAnsi="Bahnschrift"/>
        </w:rPr>
        <w:t xml:space="preserve">; podczas tej części uwidoczniło się znaczenie adaptacji do zmieniających się warunków demograficznych i rynkowych w zmieniającej się strukturze społecznej, szans i wyzwań związanych z dojrzałymi pracownikami i budowaniem kariery w wieku </w:t>
      </w:r>
      <w:r w:rsidRPr="00212841">
        <w:rPr>
          <w:rFonts w:ascii="Bahnschrift" w:hAnsi="Bahnschrift"/>
          <w:b/>
          <w:bCs/>
          <w:i/>
          <w:iCs/>
        </w:rPr>
        <w:t>silversów</w:t>
      </w:r>
      <w:r w:rsidRPr="00212841">
        <w:rPr>
          <w:rFonts w:ascii="Bahnschrift" w:hAnsi="Bahnschrift"/>
        </w:rPr>
        <w:t>.</w:t>
      </w:r>
    </w:p>
    <w:p w14:paraId="19F51D3E" w14:textId="77777777" w:rsidR="00212841" w:rsidRPr="00212841" w:rsidRDefault="00212841" w:rsidP="00212841">
      <w:pPr>
        <w:spacing w:after="120"/>
        <w:jc w:val="both"/>
        <w:rPr>
          <w:rFonts w:ascii="Bahnschrift" w:hAnsi="Bahnschrift"/>
        </w:rPr>
      </w:pPr>
      <w:r w:rsidRPr="00212841">
        <w:rPr>
          <w:rFonts w:ascii="Bahnschrift" w:hAnsi="Bahnschrift"/>
        </w:rPr>
        <w:t xml:space="preserve">W kontynuacji tematyki </w:t>
      </w:r>
      <w:r w:rsidRPr="00212841">
        <w:rPr>
          <w:rFonts w:ascii="Bahnschrift" w:hAnsi="Bahnschrift"/>
          <w:b/>
          <w:bCs/>
          <w:i/>
          <w:iCs/>
        </w:rPr>
        <w:t>kapitału społecznego</w:t>
      </w:r>
      <w:r w:rsidRPr="00212841">
        <w:rPr>
          <w:rFonts w:ascii="Bahnschrift" w:hAnsi="Bahnschrift"/>
        </w:rPr>
        <w:t xml:space="preserve">, nieodłącznego elementu zarządzania ludźmi, którego siłę oddziaływania zaprezentowało </w:t>
      </w:r>
      <w:r w:rsidRPr="00212841">
        <w:rPr>
          <w:rFonts w:ascii="Bahnschrift" w:hAnsi="Bahnschrift"/>
          <w:b/>
          <w:bCs/>
          <w:i/>
          <w:iCs/>
        </w:rPr>
        <w:t>Stowarzyszenie .kuek Alumni UEK</w:t>
      </w:r>
      <w:r w:rsidRPr="00212841">
        <w:rPr>
          <w:rFonts w:ascii="Bahnschrift" w:hAnsi="Bahnschrift"/>
        </w:rPr>
        <w:t>, paneliści – eksperci z organizacji działającej wirtualnie i stacjonarnie podzielili się swoimi doświadczeniami dotyczącymi budowania silnej wspólnoty, wzrastającej oddolnie, która łączy absolwentów w duchu zaufania i współpracy i jest płaszczyzną networkingową dla absolwentów Uniwersytetu Ekonomicznego w Krakowie.</w:t>
      </w:r>
    </w:p>
    <w:p w14:paraId="6B6F8FFD" w14:textId="77777777" w:rsidR="00212841" w:rsidRPr="00212841" w:rsidRDefault="00212841" w:rsidP="00212841">
      <w:pPr>
        <w:spacing w:after="120"/>
        <w:jc w:val="both"/>
        <w:rPr>
          <w:rFonts w:ascii="Bahnschrift" w:hAnsi="Bahnschrift"/>
        </w:rPr>
      </w:pPr>
      <w:r w:rsidRPr="00212841">
        <w:rPr>
          <w:rFonts w:ascii="Bahnschrift" w:hAnsi="Bahnschrift"/>
        </w:rPr>
        <w:t xml:space="preserve">W panelu eksperckim </w:t>
      </w:r>
      <w:r w:rsidRPr="00212841">
        <w:rPr>
          <w:rFonts w:ascii="Bahnschrift" w:hAnsi="Bahnschrift"/>
          <w:b/>
          <w:bCs/>
          <w:i/>
          <w:iCs/>
        </w:rPr>
        <w:t>controllingu</w:t>
      </w:r>
      <w:r w:rsidRPr="00212841">
        <w:rPr>
          <w:rFonts w:ascii="Bahnschrift" w:hAnsi="Bahnschrift"/>
        </w:rPr>
        <w:t xml:space="preserve"> również podążano tropem zarządzania kapitałem ludzkim. Zgromadzeni eksperci przedstawili dynamiczne zmiany w zarządzaniu, wywołane potrzebą adaptacji do cyfrowych narzędzi i metod pracy, które były przedmiotem żywej dyskusji podczas panelu poświęconego </w:t>
      </w:r>
      <w:r w:rsidRPr="00212841">
        <w:rPr>
          <w:rFonts w:ascii="Bahnschrift" w:hAnsi="Bahnschrift"/>
          <w:b/>
          <w:bCs/>
          <w:i/>
          <w:iCs/>
        </w:rPr>
        <w:t>automatyzacji, digitalizacji i kompetencji cyfrowych.</w:t>
      </w:r>
      <w:r w:rsidRPr="00212841">
        <w:rPr>
          <w:rFonts w:ascii="Bahnschrift" w:hAnsi="Bahnschrift"/>
        </w:rPr>
        <w:t xml:space="preserve"> Panel ten był także okazją do wymiany doświadczeń z różnych branż, zwracając uwagę na znaczenie adaptacji do zmian oraz na wyzwania związane z nowymi narzędziami w różnych modelach biznesowych. </w:t>
      </w:r>
    </w:p>
    <w:p w14:paraId="31F3CD27" w14:textId="77777777" w:rsidR="00212841" w:rsidRPr="00212841" w:rsidRDefault="00212841" w:rsidP="00212841">
      <w:pPr>
        <w:spacing w:after="120"/>
        <w:jc w:val="both"/>
        <w:rPr>
          <w:rFonts w:ascii="Bahnschrift" w:hAnsi="Bahnschrift"/>
        </w:rPr>
      </w:pPr>
      <w:r w:rsidRPr="00212841">
        <w:rPr>
          <w:rFonts w:ascii="Bahnschrift" w:hAnsi="Bahnschrift"/>
        </w:rPr>
        <w:t xml:space="preserve">Warto także wspomnieć o panelu dotyczącym </w:t>
      </w:r>
      <w:r w:rsidRPr="00212841">
        <w:rPr>
          <w:rFonts w:ascii="Bahnschrift" w:hAnsi="Bahnschrift"/>
          <w:b/>
          <w:bCs/>
          <w:i/>
          <w:iCs/>
        </w:rPr>
        <w:t>systemu kaucyjnego</w:t>
      </w:r>
      <w:r w:rsidRPr="00212841">
        <w:rPr>
          <w:rFonts w:ascii="Bahnschrift" w:hAnsi="Bahnschrift"/>
        </w:rPr>
        <w:t xml:space="preserve">, który zgromadził przedstawicieli kluczowych interesariuszy i pozwolił na głęboką analizę wyzwań i szans związanych z tym systemem i rozwiązaniem budzącym wielkie zainteresowanie zarówno w gospodarce jak i społeczeństwie.  Uczestnicy panelu dzielili się swoją wiedzą o aktualnych </w:t>
      </w:r>
      <w:r w:rsidRPr="00212841">
        <w:rPr>
          <w:rFonts w:ascii="Bahnschrift" w:hAnsi="Bahnschrift"/>
          <w:b/>
          <w:bCs/>
          <w:i/>
          <w:iCs/>
        </w:rPr>
        <w:t>problemach i obowiązkach wynikających z regulacji systemu kaucyjnego</w:t>
      </w:r>
      <w:r w:rsidRPr="00212841">
        <w:rPr>
          <w:rFonts w:ascii="Bahnschrift" w:hAnsi="Bahnschrift"/>
        </w:rPr>
        <w:t>, a także odpowiadali na pytanie o perspektywy rozwoju tego systemu w Polsce.</w:t>
      </w:r>
    </w:p>
    <w:p w14:paraId="71122EE7" w14:textId="77777777" w:rsidR="00212841" w:rsidRPr="00212841" w:rsidRDefault="00212841" w:rsidP="00212841">
      <w:pPr>
        <w:spacing w:after="120"/>
        <w:jc w:val="both"/>
        <w:rPr>
          <w:rFonts w:ascii="Bahnschrift" w:hAnsi="Bahnschrift"/>
        </w:rPr>
      </w:pPr>
      <w:r w:rsidRPr="00212841">
        <w:rPr>
          <w:rFonts w:ascii="Bahnschrift" w:hAnsi="Bahnschrift"/>
        </w:rPr>
        <w:t xml:space="preserve">Adaptacją do zmieniających się warunków, szczególnie w kontekście zasobów ludzkich i neuroróżnorodności, istotną dla organizacji omawiano w kolejnym panelu eksperckim, z którego dowiedzieliśmy się, że </w:t>
      </w:r>
      <w:r w:rsidRPr="00212841">
        <w:rPr>
          <w:rFonts w:ascii="Bahnschrift" w:hAnsi="Bahnschrift"/>
          <w:b/>
          <w:bCs/>
          <w:i/>
          <w:iCs/>
        </w:rPr>
        <w:t>neuroróżnorodność</w:t>
      </w:r>
      <w:r w:rsidRPr="00212841">
        <w:rPr>
          <w:rFonts w:ascii="Bahnschrift" w:hAnsi="Bahnschrift"/>
        </w:rPr>
        <w:t xml:space="preserve">, odnosząca się do różnic poznawczych wśród pracowników, w tym osób w spektrum autyzmu, stanowi zaledwie 2% zatrudnienia w Polsce. </w:t>
      </w:r>
      <w:r w:rsidRPr="00212841">
        <w:rPr>
          <w:rFonts w:ascii="Bahnschrift" w:hAnsi="Bahnschrift"/>
          <w:b/>
          <w:bCs/>
          <w:i/>
          <w:iCs/>
        </w:rPr>
        <w:t>Rozwijanie praktyk zarządzania uwzględniających neuroróżnorodność i sensoryczną dostępność jest bardzo ważne i może pogłębić zrozumienie jej wpływu na teorię zarządzania</w:t>
      </w:r>
      <w:r w:rsidRPr="00212841">
        <w:rPr>
          <w:rFonts w:ascii="Bahnschrift" w:hAnsi="Bahnschrift"/>
        </w:rPr>
        <w:t>.</w:t>
      </w:r>
    </w:p>
    <w:p w14:paraId="619E36AC" w14:textId="77777777" w:rsidR="00212841" w:rsidRPr="00212841" w:rsidRDefault="00212841" w:rsidP="00212841">
      <w:pPr>
        <w:jc w:val="both"/>
        <w:rPr>
          <w:rFonts w:ascii="Bahnschrift" w:hAnsi="Bahnschrift"/>
        </w:rPr>
      </w:pPr>
      <w:r w:rsidRPr="00212841">
        <w:rPr>
          <w:rFonts w:ascii="Bahnschrift" w:hAnsi="Bahnschrift"/>
        </w:rPr>
        <w:t xml:space="preserve">Kontekst </w:t>
      </w:r>
      <w:r w:rsidRPr="00212841">
        <w:rPr>
          <w:rFonts w:ascii="Bahnschrift" w:hAnsi="Bahnschrift"/>
          <w:b/>
          <w:bCs/>
          <w:i/>
          <w:iCs/>
        </w:rPr>
        <w:t>zmian klimatycznych i transformacji energetycznej</w:t>
      </w:r>
      <w:r w:rsidRPr="00212841">
        <w:rPr>
          <w:rFonts w:ascii="Bahnschrift" w:hAnsi="Bahnschrift"/>
        </w:rPr>
        <w:t xml:space="preserve"> tworzą powiązany cykl, który wpływa na środowisko. Dyskusje społeczne, odzwierciedlone w spotkaniu panelowym poprowadzonym przez samorządowców, koncentrowały się na tym, jak odnawialne źródła energii i efektywność energetyczna mogą przeciwdziałać negatywnym skutkom klimatycznym. Przytoczone w dyskusji studia przypadku i dobrych praktyk z krajów unijnych poprowadziły uczestników w kierunku rozważań  dotyczących zarówno </w:t>
      </w:r>
      <w:r w:rsidRPr="00212841">
        <w:rPr>
          <w:rFonts w:ascii="Bahnschrift" w:hAnsi="Bahnschrift"/>
          <w:b/>
          <w:bCs/>
          <w:i/>
          <w:iCs/>
        </w:rPr>
        <w:t>korzyści, jak i wyzwań dotyczących transformacji energetyczne</w:t>
      </w:r>
      <w:r w:rsidRPr="00212841">
        <w:rPr>
          <w:rFonts w:ascii="Bahnschrift" w:hAnsi="Bahnschrift"/>
        </w:rPr>
        <w:t xml:space="preserve">j, podkreślające znaczenie europejskich funduszy wspierających inwestycje w zrównoważone i innowacyjne technologie oraz międzynarodowej współpracy w zarządzaniu zmianami klimatycznymi to tematy jako żywo dotykające każdego z nas, obywateli i mieszkańców Ziemi, w skali lokalnej oraz globalnej. </w:t>
      </w:r>
    </w:p>
    <w:p w14:paraId="75E7D0FD" w14:textId="77777777" w:rsidR="00212841" w:rsidRDefault="00212841" w:rsidP="00212841">
      <w:pPr>
        <w:jc w:val="both"/>
        <w:rPr>
          <w:rFonts w:ascii="Bahnschrift" w:hAnsi="Bahnschrift"/>
        </w:rPr>
      </w:pPr>
    </w:p>
    <w:p w14:paraId="0DA44DE9" w14:textId="487970C3" w:rsidR="00212841" w:rsidRPr="00212841" w:rsidRDefault="00212841" w:rsidP="00212841">
      <w:pPr>
        <w:jc w:val="both"/>
        <w:rPr>
          <w:rFonts w:ascii="Bahnschrift" w:hAnsi="Bahnschrift"/>
        </w:rPr>
      </w:pPr>
      <w:r w:rsidRPr="00212841">
        <w:rPr>
          <w:rFonts w:ascii="Bahnschrift" w:hAnsi="Bahnschrift"/>
        </w:rPr>
        <w:t xml:space="preserve">Nowy temat poruszony po raz pierwszy podczas naszej konferencji to  temat </w:t>
      </w:r>
      <w:r w:rsidRPr="00212841">
        <w:rPr>
          <w:rFonts w:ascii="Bahnschrift" w:hAnsi="Bahnschrift"/>
          <w:b/>
          <w:bCs/>
          <w:i/>
          <w:iCs/>
        </w:rPr>
        <w:t>zarządzania w sporcie</w:t>
      </w:r>
      <w:r w:rsidRPr="00212841">
        <w:rPr>
          <w:rFonts w:ascii="Bahnschrift" w:hAnsi="Bahnschrift"/>
        </w:rPr>
        <w:t>, który pokazuje, że jest to proces równie złożony co kierowanie dużym przedsiębiorstwem, obejmujący strategię, dobór odpowiednich ludzi, wyniki sportowe i ekonomiczne oraz kontrolę nad podejmowanymi działaniami, przy czym znaczącą rolę odgrywają emocje. Elementami o dużej wadze w zarządzaniu sportem są zarówno aspekty ekonomiczne, jak system finansowania działalności zapewniający płynność finansową oraz rozproszenie ryzyka, jak i psychologia, która ma istotny wpływ na podejmowanie decyzji na różnych szczeblach zarządzania. Paneliści – sportowcy, którzy odnieśli zawodowy sukces, dzielili się z uczestnikami swoją wiedzą na temat zarządzania i zastanawiali się, czy istnieje model zarządzania, który może zagwarantować sukces, podkreślając znaczenie zarówno elementów mierzalnych, jak i niemierzalnych w zarządzaniu sportowym.</w:t>
      </w:r>
    </w:p>
    <w:p w14:paraId="734DACEC" w14:textId="77777777" w:rsidR="00212841" w:rsidRPr="00212841" w:rsidRDefault="00212841" w:rsidP="00212841">
      <w:pPr>
        <w:spacing w:after="120"/>
        <w:jc w:val="both"/>
        <w:rPr>
          <w:rFonts w:ascii="Bahnschrift" w:hAnsi="Bahnschrift"/>
        </w:rPr>
      </w:pPr>
      <w:r w:rsidRPr="00212841">
        <w:rPr>
          <w:rFonts w:ascii="Bahnschrift" w:hAnsi="Bahnschrift"/>
        </w:rPr>
        <w:t xml:space="preserve">Dokonując tego podsumowania, chciałbym podzielić się z Wami liczbami, które w porównaniu z latami ubiegłymi są jeszcze bardziej imponujące i pokazują dużą dynamikę rozwoju naszej konferencji: </w:t>
      </w:r>
    </w:p>
    <w:p w14:paraId="05EFCC4E" w14:textId="77777777" w:rsidR="00212841" w:rsidRPr="00212841" w:rsidRDefault="00212841" w:rsidP="00212841">
      <w:pPr>
        <w:pStyle w:val="Akapitzlist"/>
        <w:numPr>
          <w:ilvl w:val="0"/>
          <w:numId w:val="2"/>
        </w:numPr>
        <w:ind w:left="720"/>
        <w:jc w:val="both"/>
        <w:rPr>
          <w:rFonts w:ascii="Bahnschrift" w:hAnsi="Bahnschrift" w:cs="Times New Roman"/>
          <w:b/>
          <w:bCs/>
          <w:lang w:val="pl-PL"/>
        </w:rPr>
      </w:pPr>
      <w:r w:rsidRPr="00212841">
        <w:rPr>
          <w:rFonts w:ascii="Bahnschrift" w:hAnsi="Bahnschrift" w:cs="Times New Roman"/>
          <w:b/>
          <w:bCs/>
          <w:lang w:val="pl-PL"/>
        </w:rPr>
        <w:t>W sesjach plenarnych CMQ2024 powitaliśmy 122 uczestników, co podkreśla atrakcyjność konferencji i znaczenie jej tematów.</w:t>
      </w:r>
    </w:p>
    <w:p w14:paraId="5B7D7578" w14:textId="77777777" w:rsidR="00212841" w:rsidRPr="00212841" w:rsidRDefault="00212841" w:rsidP="00212841">
      <w:pPr>
        <w:pStyle w:val="Akapitzlist"/>
        <w:numPr>
          <w:ilvl w:val="0"/>
          <w:numId w:val="2"/>
        </w:numPr>
        <w:ind w:left="720"/>
        <w:jc w:val="both"/>
        <w:rPr>
          <w:rFonts w:ascii="Bahnschrift" w:hAnsi="Bahnschrift" w:cs="Times New Roman"/>
          <w:b/>
          <w:bCs/>
          <w:lang w:val="pl-PL"/>
        </w:rPr>
      </w:pPr>
      <w:r w:rsidRPr="00212841">
        <w:rPr>
          <w:rFonts w:ascii="Bahnschrift" w:hAnsi="Bahnschrift" w:cs="Times New Roman"/>
          <w:b/>
          <w:bCs/>
          <w:lang w:val="pl-PL"/>
        </w:rPr>
        <w:t>Cztery sesje naukowe w języku polskim i angielskim przyciągnęły 60 uczestników, co demonstruje silne zainteresowanie ukierunkowanymi dyskusjami.</w:t>
      </w:r>
    </w:p>
    <w:p w14:paraId="77107214" w14:textId="77777777" w:rsidR="00212841" w:rsidRPr="00212841" w:rsidRDefault="00212841" w:rsidP="00212841">
      <w:pPr>
        <w:pStyle w:val="Akapitzlist"/>
        <w:numPr>
          <w:ilvl w:val="0"/>
          <w:numId w:val="2"/>
        </w:numPr>
        <w:ind w:left="720"/>
        <w:jc w:val="both"/>
        <w:rPr>
          <w:rFonts w:ascii="Bahnschrift" w:hAnsi="Bahnschrift" w:cs="Times New Roman"/>
          <w:b/>
          <w:bCs/>
          <w:lang w:val="pl-PL"/>
        </w:rPr>
      </w:pPr>
      <w:r w:rsidRPr="00212841">
        <w:rPr>
          <w:rFonts w:ascii="Bahnschrift" w:hAnsi="Bahnschrift" w:cs="Times New Roman"/>
          <w:b/>
          <w:bCs/>
          <w:lang w:val="pl-PL"/>
        </w:rPr>
        <w:t>Dwanaście paneli eksperckich odnotowało imponującą frekwencję – 420 uczestników pierwszego dnia i 435 drugiego dnia. Sesje te były kluczowe dla dzielenia się wiedzą specjalistyczną i zaawansowanymi praktykami.</w:t>
      </w:r>
    </w:p>
    <w:p w14:paraId="4CF56246" w14:textId="69E40477" w:rsidR="00212841" w:rsidRPr="00212841" w:rsidRDefault="00212841" w:rsidP="00212841">
      <w:pPr>
        <w:jc w:val="both"/>
        <w:rPr>
          <w:rFonts w:ascii="Bahnschrift" w:hAnsi="Bahnschrift"/>
        </w:rPr>
      </w:pPr>
      <w:r w:rsidRPr="00212841">
        <w:rPr>
          <w:rFonts w:ascii="Bahnschrift" w:hAnsi="Bahnschrift"/>
        </w:rPr>
        <w:t xml:space="preserve">Na uwagę zasługuje również fakt, że w tegorocznych sesjach </w:t>
      </w:r>
      <w:r w:rsidR="00FB37C2">
        <w:rPr>
          <w:rFonts w:ascii="Bahnschrift" w:hAnsi="Bahnschrift"/>
        </w:rPr>
        <w:t>naukowych</w:t>
      </w:r>
      <w:r w:rsidRPr="00212841">
        <w:rPr>
          <w:rFonts w:ascii="Bahnschrift" w:hAnsi="Bahnschrift"/>
        </w:rPr>
        <w:t xml:space="preserve"> udało się nawiązać kontakt z </w:t>
      </w:r>
      <w:r w:rsidR="00FB37C2">
        <w:rPr>
          <w:rFonts w:ascii="Bahnschrift" w:hAnsi="Bahnschrift"/>
        </w:rPr>
        <w:t>badaczami</w:t>
      </w:r>
      <w:r w:rsidRPr="00212841">
        <w:rPr>
          <w:rFonts w:ascii="Bahnschrift" w:hAnsi="Bahnschrift"/>
        </w:rPr>
        <w:t xml:space="preserve"> z </w:t>
      </w:r>
      <w:r w:rsidRPr="00FB37C2">
        <w:rPr>
          <w:rFonts w:ascii="Bahnschrift" w:hAnsi="Bahnschrift"/>
          <w:b/>
          <w:bCs/>
        </w:rPr>
        <w:t xml:space="preserve">Hiszpanii, </w:t>
      </w:r>
      <w:r w:rsidR="00FB37C2" w:rsidRPr="00FB37C2">
        <w:rPr>
          <w:rFonts w:ascii="Bahnschrift" w:hAnsi="Bahnschrift"/>
          <w:b/>
          <w:bCs/>
        </w:rPr>
        <w:t xml:space="preserve">Indonezji, </w:t>
      </w:r>
      <w:r w:rsidRPr="00FB37C2">
        <w:rPr>
          <w:rFonts w:ascii="Bahnschrift" w:hAnsi="Bahnschrift"/>
          <w:b/>
          <w:bCs/>
        </w:rPr>
        <w:t>Malezji, Litwy, Łotwy, Portugalii, Szwajcarii, Wielkiej Brytanii, Ukrainy i USA</w:t>
      </w:r>
      <w:r w:rsidRPr="00212841">
        <w:rPr>
          <w:rFonts w:ascii="Bahnschrift" w:hAnsi="Bahnschrift"/>
        </w:rPr>
        <w:t xml:space="preserve">. Format cyfrowy konferencji pozwolił nam zaprosić międzynarodowych ekspertów i menedżerów wysokiego szczebla, co byłoby trudne przy tradycyjnie organizowanej konferencji. Potwierdza to znaczący potencjał konferencji online, który zamierzamy dalej rozwijać, tak, żeby umożliwić dostęp do konferencji jeszcze większej liczbie zagranicznych naukowców i praktyków biznesu, co jeszcze bardziej podkreśli międzynarodowy charakter naszego wydarzenia.  </w:t>
      </w:r>
    </w:p>
    <w:p w14:paraId="7CC7FEC1" w14:textId="77777777" w:rsidR="00212841" w:rsidRPr="00212841" w:rsidRDefault="00212841" w:rsidP="00212841">
      <w:pPr>
        <w:jc w:val="both"/>
        <w:rPr>
          <w:rFonts w:ascii="Bahnschrift" w:hAnsi="Bahnschrift"/>
        </w:rPr>
      </w:pPr>
      <w:r w:rsidRPr="00212841">
        <w:rPr>
          <w:rFonts w:ascii="Bahnschrift" w:hAnsi="Bahnschrift"/>
        </w:rPr>
        <w:t xml:space="preserve">Integracja praktyków biznesu, przedstawicieli środowiska rządowego, samorządu lokalnego, kultury, sportu i różnych organizacji pozabiznesowych nie tylko wzbogaciła treść konferencji, ale również jej status i inkluzywność. Jako zespół Kolegium Nauk o Zarządzaniu i Jakości Uniwersytetu Ekonomicznego w Krakowie jesteśmy z tego dumni, ponieważ relacje, które zostały uformowane, oraz pomysły, które zostały wygenerowane podczas tych spotkań, wyznaczają jasną ścieżkę dla naszej bieżącej i przyszłej pracy naukowej i empirycznej. </w:t>
      </w:r>
    </w:p>
    <w:p w14:paraId="6FE1DEAE" w14:textId="77777777" w:rsidR="00212841" w:rsidRDefault="00212841">
      <w:pPr>
        <w:suppressAutoHyphens w:val="0"/>
        <w:spacing w:after="0" w:line="240" w:lineRule="auto"/>
        <w:rPr>
          <w:rFonts w:ascii="Bahnschrift" w:hAnsi="Bahnschrift"/>
        </w:rPr>
      </w:pPr>
      <w:r>
        <w:rPr>
          <w:rFonts w:ascii="Bahnschrift" w:hAnsi="Bahnschrift"/>
        </w:rPr>
        <w:br w:type="page"/>
      </w:r>
    </w:p>
    <w:p w14:paraId="7EE55A1E" w14:textId="77777777" w:rsidR="00212841" w:rsidRDefault="00212841" w:rsidP="00212841">
      <w:pPr>
        <w:jc w:val="both"/>
        <w:rPr>
          <w:rFonts w:ascii="Bahnschrift" w:hAnsi="Bahnschrift"/>
        </w:rPr>
      </w:pPr>
    </w:p>
    <w:p w14:paraId="1F851E76" w14:textId="4728AF99" w:rsidR="00212841" w:rsidRPr="00212841" w:rsidRDefault="00212841" w:rsidP="00212841">
      <w:pPr>
        <w:jc w:val="both"/>
        <w:rPr>
          <w:rFonts w:ascii="Bahnschrift" w:hAnsi="Bahnschrift"/>
        </w:rPr>
      </w:pPr>
      <w:r w:rsidRPr="00212841">
        <w:rPr>
          <w:rFonts w:ascii="Bahnschrift" w:hAnsi="Bahnschrift"/>
        </w:rPr>
        <w:t xml:space="preserve">Na szczególną uwagę zasługuje sesja studencka, która została zorganizowana stacjonarnie, w murach Uczelni. Nasi studenci, polscy i zagraniczni w ostatnim dniu konferencji CMQ2024 zorganizowali fantastyczne prezentacje, dzieląc się swoją wiedzą z rówieśnikami i obecnymi gośćmi. Biorąc udział w sesji studenckiej z podziwem patrzyłem na bardzo wysoki poziom merytoryczny prezentowanej tematyki naukowej, oprawy organizacyjnej i świetnej atmosfery, którą stworzyli Studentki i Studenci. Wielu z nich wykonało postery i prezentowało ja podczas specjalnej części – wszystkie prace, wspaniałe i pomysłowe zostaną uwiecznione w monografii, która zostanie dedykowana młodym Autorkom i Autorom. Będzie to doskonała pamiątka dla tych, którzy w bieżącym roku kończą edukację.    </w:t>
      </w:r>
    </w:p>
    <w:p w14:paraId="50EE6185" w14:textId="77777777" w:rsidR="00212841" w:rsidRPr="00212841" w:rsidRDefault="00212841" w:rsidP="00212841">
      <w:pPr>
        <w:jc w:val="both"/>
        <w:rPr>
          <w:rFonts w:ascii="Bahnschrift" w:hAnsi="Bahnschrift"/>
        </w:rPr>
      </w:pPr>
      <w:r w:rsidRPr="00212841">
        <w:rPr>
          <w:rFonts w:ascii="Bahnschrift" w:hAnsi="Bahnschrift"/>
        </w:rPr>
        <w:t>Jestem dumny z tego, że zrealizowaliśmy nasze cele, a więc przedstawienie i rozpowszechnianie wyników badań naukowych, wspieranie współpracy między biznesem a nauką oraz badanie możliwości komercjalizacji badań naukowych, a to  możliwe było dzięki wspólnemu zaangażowaniu, za które chciałbym Wam bardzo podziękować.</w:t>
      </w:r>
    </w:p>
    <w:p w14:paraId="641FFE2F" w14:textId="77777777" w:rsidR="00212841" w:rsidRPr="00212841" w:rsidRDefault="00212841" w:rsidP="00212841">
      <w:pPr>
        <w:jc w:val="both"/>
        <w:rPr>
          <w:rFonts w:ascii="Bahnschrift" w:hAnsi="Bahnschrift"/>
        </w:rPr>
      </w:pPr>
      <w:r w:rsidRPr="00212841">
        <w:rPr>
          <w:rFonts w:ascii="Bahnschrift" w:hAnsi="Bahnschrift"/>
        </w:rPr>
        <w:t>Nasze sesje stworzyły wartościowe możliwości dialogu między naukowcami i profesjonalistami biznesowymi, przyczyniając się do szerszego zrozumienia krajobrazów ekonomicznych i zarządczych.</w:t>
      </w:r>
    </w:p>
    <w:p w14:paraId="3A674D3B" w14:textId="77777777" w:rsidR="00212841" w:rsidRPr="00212841" w:rsidRDefault="00212841" w:rsidP="00212841">
      <w:pPr>
        <w:jc w:val="both"/>
        <w:rPr>
          <w:rFonts w:ascii="Bahnschrift" w:hAnsi="Bahnschrift"/>
        </w:rPr>
      </w:pPr>
      <w:r w:rsidRPr="00212841">
        <w:rPr>
          <w:rFonts w:ascii="Bahnschrift" w:hAnsi="Bahnschrift"/>
        </w:rPr>
        <w:t>Zachęcam wszystkich uczestników do dalszego dzielenia się swoimi kontaktami naukowymi i biznesowymi, a także innowacyjnymi pomysłami. Jestem zainteresowany współpracą w celu rozszerzenia naszej oferty konferencyjnej, witając wkład nie tylko profesorów, ale także doktorantów, praktyków i przedstawicieli administracji. Jestem głęboko wdzięczny wszystkim liderom paneli i uczestnikom za ich bezcenny wkład i z niecierpliwością oczekujemy na budowanie sukcesów naszej kolejnej edycji konferencji CMQ2025.</w:t>
      </w:r>
    </w:p>
    <w:p w14:paraId="280AA973" w14:textId="77777777" w:rsidR="00212841" w:rsidRPr="00212841" w:rsidRDefault="00212841" w:rsidP="00212841">
      <w:pPr>
        <w:jc w:val="both"/>
        <w:rPr>
          <w:rFonts w:ascii="Bahnschrift" w:hAnsi="Bahnschrift"/>
        </w:rPr>
      </w:pPr>
      <w:r w:rsidRPr="00212841">
        <w:rPr>
          <w:rFonts w:ascii="Bahnschrift" w:hAnsi="Bahnschrift"/>
        </w:rPr>
        <w:t>W imieniu Koleżanek i Kolegów z Kolegium Nauk o Zarządzaniu i Jakości ponownie kieruję do Państwa słowa podziękowania za Wasz wkład, współpracę, wysiłek i zaangażowanie. Chciałbym podkreślić, że wspólnie osiągnęliśmy sukces – jestem zaszczycony móc gościć Was tutaj i dumny, widząc że wspólnie rozwijamy dzieło naszego Uniwersytetu.</w:t>
      </w:r>
    </w:p>
    <w:p w14:paraId="3C137286" w14:textId="6EA94E63" w:rsidR="00212841" w:rsidRPr="00212841" w:rsidRDefault="00212841" w:rsidP="00212841">
      <w:pPr>
        <w:jc w:val="both"/>
        <w:rPr>
          <w:rFonts w:ascii="Bahnschrift" w:hAnsi="Bahnschrift"/>
          <w:b/>
          <w:bCs/>
        </w:rPr>
      </w:pPr>
      <w:r w:rsidRPr="00212841">
        <w:rPr>
          <w:rFonts w:ascii="Bahnschrift" w:hAnsi="Bahnschrift"/>
          <w:b/>
          <w:bCs/>
        </w:rPr>
        <w:t xml:space="preserve">Zachęcam Was do dzielenia się swoimi opiniami, będziemy wdzięczni za każdą informację zwrotną z Waszej strony, </w:t>
      </w:r>
      <w:r w:rsidRPr="00212841">
        <w:rPr>
          <w:rFonts w:ascii="Bahnschrift" w:hAnsi="Bahnschrift"/>
        </w:rPr>
        <w:t>kierujcie je na adres:</w:t>
      </w:r>
      <w:r w:rsidRPr="00212841">
        <w:rPr>
          <w:rFonts w:ascii="Bahnschrift" w:hAnsi="Bahnschrift"/>
          <w:b/>
          <w:bCs/>
        </w:rPr>
        <w:t xml:space="preserve"> </w:t>
      </w:r>
      <w:r>
        <w:rPr>
          <w:rFonts w:ascii="Bahnschrift" w:hAnsi="Bahnschrift"/>
          <w:b/>
          <w:bCs/>
        </w:rPr>
        <w:t>cmq@uek.krakow.pl</w:t>
      </w:r>
    </w:p>
    <w:p w14:paraId="418A6FEE" w14:textId="511D5F09" w:rsidR="00967982" w:rsidRDefault="0081183C" w:rsidP="00212841">
      <w:pPr>
        <w:jc w:val="both"/>
        <w:rPr>
          <w:rFonts w:ascii="Bahnschrift" w:hAnsi="Bahnschrift"/>
        </w:rPr>
      </w:pPr>
      <w:r>
        <w:rPr>
          <w:rFonts w:ascii="Bahnschrift" w:hAnsi="Bahnschrift"/>
        </w:rPr>
        <w:br/>
      </w:r>
      <w:r w:rsidRPr="0081183C">
        <w:rPr>
          <w:rFonts w:ascii="Bahnschrift" w:hAnsi="Bahnschrift"/>
        </w:rPr>
        <w:t>Z uszanowaniem</w:t>
      </w:r>
    </w:p>
    <w:p w14:paraId="249E773D" w14:textId="77777777" w:rsidR="00212841" w:rsidRDefault="00212841" w:rsidP="00F0383D">
      <w:pPr>
        <w:spacing w:after="0" w:line="240" w:lineRule="auto"/>
        <w:jc w:val="both"/>
        <w:rPr>
          <w:rFonts w:ascii="Bahnschrift" w:hAnsi="Bahnschrift"/>
          <w:sz w:val="20"/>
          <w:szCs w:val="20"/>
        </w:rPr>
      </w:pPr>
    </w:p>
    <w:p w14:paraId="13BF06EB" w14:textId="70310BCC" w:rsidR="00F0383D" w:rsidRPr="00212841" w:rsidRDefault="00D45D72" w:rsidP="00F0383D">
      <w:pPr>
        <w:spacing w:after="0" w:line="240" w:lineRule="auto"/>
        <w:jc w:val="both"/>
        <w:rPr>
          <w:rFonts w:ascii="Bahnschrift" w:hAnsi="Bahnschrift"/>
          <w:sz w:val="20"/>
          <w:szCs w:val="20"/>
        </w:rPr>
      </w:pPr>
      <w:r>
        <w:rPr>
          <w:rFonts w:ascii="Bahnschrift" w:hAnsi="Bahnschrift"/>
          <w:sz w:val="20"/>
          <w:szCs w:val="20"/>
        </w:rPr>
        <w:br/>
      </w:r>
      <w:r>
        <w:rPr>
          <w:rFonts w:ascii="Bahnschrift" w:hAnsi="Bahnschrift"/>
          <w:sz w:val="20"/>
          <w:szCs w:val="20"/>
        </w:rPr>
        <w:br/>
      </w:r>
      <w:bookmarkStart w:id="0" w:name="_Hlk167715054"/>
      <w:r w:rsidR="00F0383D" w:rsidRPr="00F0383D">
        <w:rPr>
          <w:rFonts w:ascii="Bahnschrift" w:hAnsi="Bahnschrift"/>
          <w:sz w:val="20"/>
          <w:szCs w:val="20"/>
        </w:rPr>
        <w:t xml:space="preserve">Prof. UEK dr hab. </w:t>
      </w:r>
      <w:r w:rsidR="00F0383D" w:rsidRPr="00212841">
        <w:rPr>
          <w:rFonts w:ascii="Bahnschrift" w:hAnsi="Bahnschrift"/>
          <w:sz w:val="20"/>
          <w:szCs w:val="20"/>
        </w:rPr>
        <w:t>Janusz Nesterak</w:t>
      </w:r>
    </w:p>
    <w:p w14:paraId="3DD55688" w14:textId="113F1297" w:rsidR="00F0383D" w:rsidRPr="00F0383D" w:rsidRDefault="00F0383D" w:rsidP="00F0383D">
      <w:pPr>
        <w:spacing w:after="0" w:line="240" w:lineRule="auto"/>
        <w:jc w:val="both"/>
        <w:rPr>
          <w:rFonts w:ascii="Bahnschrift" w:hAnsi="Bahnschrift"/>
          <w:sz w:val="16"/>
          <w:szCs w:val="16"/>
        </w:rPr>
      </w:pPr>
      <w:r w:rsidRPr="00F0383D">
        <w:rPr>
          <w:rFonts w:ascii="Bahnschrift" w:hAnsi="Bahnschrift"/>
          <w:sz w:val="20"/>
          <w:szCs w:val="20"/>
        </w:rPr>
        <w:t>Przewodniczący Komitetu Organizacyjnego CMQ2024</w:t>
      </w:r>
      <w:bookmarkEnd w:id="0"/>
    </w:p>
    <w:sectPr w:rsidR="00F0383D" w:rsidRPr="00F0383D" w:rsidSect="00F0383D">
      <w:headerReference w:type="default" r:id="rId7"/>
      <w:footerReference w:type="default" r:id="rId8"/>
      <w:pgSz w:w="11906" w:h="16838" w:code="9"/>
      <w:pgMar w:top="851" w:right="1134" w:bottom="851" w:left="1134" w:header="737" w:footer="737"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48AE" w14:textId="77777777" w:rsidR="00387B26" w:rsidRDefault="00387B26">
      <w:pPr>
        <w:spacing w:after="0" w:line="240" w:lineRule="auto"/>
      </w:pPr>
      <w:r>
        <w:separator/>
      </w:r>
    </w:p>
  </w:endnote>
  <w:endnote w:type="continuationSeparator" w:id="0">
    <w:p w14:paraId="5C20DC7C" w14:textId="77777777" w:rsidR="00387B26" w:rsidRDefault="0038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D76D" w14:textId="5EFC1742" w:rsidR="00C00E87" w:rsidRDefault="00F0383D" w:rsidP="00967982">
    <w:pPr>
      <w:pStyle w:val="Stopka"/>
      <w:tabs>
        <w:tab w:val="left" w:pos="4290"/>
      </w:tabs>
    </w:pPr>
    <w:r>
      <w:tab/>
    </w:r>
  </w:p>
  <w:p w14:paraId="59C634EE" w14:textId="534454B0" w:rsidR="00C00E87" w:rsidRDefault="00F0383D" w:rsidP="00F0383D">
    <w:pPr>
      <w:pStyle w:val="Stopka"/>
      <w:tabs>
        <w:tab w:val="left" w:pos="3800"/>
      </w:tabs>
    </w:pPr>
    <w:r>
      <w:tab/>
    </w:r>
  </w:p>
  <w:p w14:paraId="23E9817A" w14:textId="77777777" w:rsidR="00C00E87" w:rsidRDefault="00C00E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3453" w14:textId="77777777" w:rsidR="00387B26" w:rsidRDefault="00387B26">
      <w:pPr>
        <w:spacing w:after="0" w:line="240" w:lineRule="auto"/>
      </w:pPr>
      <w:r>
        <w:separator/>
      </w:r>
    </w:p>
  </w:footnote>
  <w:footnote w:type="continuationSeparator" w:id="0">
    <w:p w14:paraId="46FEEC34" w14:textId="77777777" w:rsidR="00387B26" w:rsidRDefault="0038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3BCE" w14:textId="77777777" w:rsidR="00C00E87" w:rsidRDefault="00B740C1">
    <w:pPr>
      <w:pStyle w:val="Nagwek"/>
      <w:tabs>
        <w:tab w:val="left" w:pos="1678"/>
      </w:tabs>
    </w:pPr>
    <w:r>
      <w:rPr>
        <w:noProof/>
        <w:lang w:eastAsia="pl-PL"/>
      </w:rPr>
      <w:drawing>
        <wp:anchor distT="0" distB="0" distL="114300" distR="114300" simplePos="0" relativeHeight="251657728" behindDoc="1" locked="0" layoutInCell="1" allowOverlap="1" wp14:anchorId="4AD8B13C" wp14:editId="22A2990A">
          <wp:simplePos x="0" y="0"/>
          <wp:positionH relativeFrom="margin">
            <wp:posOffset>-897890</wp:posOffset>
          </wp:positionH>
          <wp:positionV relativeFrom="margin">
            <wp:posOffset>-1446530</wp:posOffset>
          </wp:positionV>
          <wp:extent cx="7715250" cy="10693284"/>
          <wp:effectExtent l="0" t="0" r="6350" b="0"/>
          <wp:wrapNone/>
          <wp:docPr id="290929214" name="Obraz 29092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1"/>
                  <a:stretch>
                    <a:fillRect/>
                  </a:stretch>
                </pic:blipFill>
                <pic:spPr bwMode="auto">
                  <a:xfrm>
                    <a:off x="0" y="0"/>
                    <a:ext cx="7715250" cy="10693284"/>
                  </a:xfrm>
                  <a:prstGeom prst="rect">
                    <a:avLst/>
                  </a:prstGeom>
                  <a:noFill/>
                  <a:ln>
                    <a:noFill/>
                  </a:ln>
                </pic:spPr>
              </pic:pic>
            </a:graphicData>
          </a:graphic>
          <wp14:sizeRelH relativeFrom="margin">
            <wp14:pctWidth>0</wp14:pctWidth>
          </wp14:sizeRelH>
        </wp:anchor>
      </w:drawing>
    </w:r>
  </w:p>
  <w:p w14:paraId="39DA0775" w14:textId="77777777" w:rsidR="00C00E87" w:rsidRDefault="00B740C1" w:rsidP="00594F8C">
    <w:pPr>
      <w:pStyle w:val="Nagwek"/>
      <w:tabs>
        <w:tab w:val="left" w:pos="831"/>
        <w:tab w:val="left" w:pos="1678"/>
      </w:tabs>
    </w:pPr>
    <w:r>
      <w:tab/>
    </w:r>
    <w:r w:rsidR="00594F8C">
      <w:tab/>
    </w:r>
  </w:p>
  <w:p w14:paraId="7C5CE121" w14:textId="77777777" w:rsidR="00C00E87" w:rsidRDefault="00C00E87">
    <w:pPr>
      <w:pStyle w:val="Nagwek"/>
      <w:tabs>
        <w:tab w:val="left" w:pos="1978"/>
        <w:tab w:val="left" w:pos="2755"/>
      </w:tabs>
    </w:pPr>
    <w:r>
      <w:tab/>
    </w:r>
    <w:r>
      <w:tab/>
    </w:r>
    <w:r>
      <w:tab/>
    </w:r>
  </w:p>
  <w:p w14:paraId="1235A6BA" w14:textId="77777777" w:rsidR="00C00E87" w:rsidRDefault="00FE1E28" w:rsidP="00FE1E28">
    <w:pPr>
      <w:pStyle w:val="Nagwek"/>
      <w:tabs>
        <w:tab w:val="left" w:pos="7044"/>
      </w:tabs>
    </w:pPr>
    <w:r>
      <w:tab/>
    </w:r>
  </w:p>
  <w:p w14:paraId="2F49EB3D" w14:textId="77777777" w:rsidR="00C00E87" w:rsidRDefault="00FC28E0" w:rsidP="00FC28E0">
    <w:pPr>
      <w:pStyle w:val="Nagwek"/>
      <w:tabs>
        <w:tab w:val="left" w:pos="8186"/>
      </w:tabs>
    </w:pPr>
    <w:r>
      <w:tab/>
    </w:r>
  </w:p>
  <w:p w14:paraId="41D24971" w14:textId="77777777" w:rsidR="00C00E87" w:rsidRDefault="00C00E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9161E"/>
    <w:multiLevelType w:val="hybridMultilevel"/>
    <w:tmpl w:val="F5789B3C"/>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B194132"/>
    <w:multiLevelType w:val="hybridMultilevel"/>
    <w:tmpl w:val="DD92B730"/>
    <w:lvl w:ilvl="0" w:tplc="04150001">
      <w:start w:val="1"/>
      <w:numFmt w:val="bullet"/>
      <w:lvlText w:val=""/>
      <w:lvlJc w:val="left"/>
      <w:pPr>
        <w:ind w:left="-217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732" w:hanging="360"/>
      </w:pPr>
      <w:rPr>
        <w:rFonts w:ascii="Wingdings" w:hAnsi="Wingdings" w:hint="default"/>
      </w:rPr>
    </w:lvl>
    <w:lvl w:ilvl="3" w:tplc="04150001" w:tentative="1">
      <w:start w:val="1"/>
      <w:numFmt w:val="bullet"/>
      <w:lvlText w:val=""/>
      <w:lvlJc w:val="left"/>
      <w:pPr>
        <w:ind w:left="-12" w:hanging="360"/>
      </w:pPr>
      <w:rPr>
        <w:rFonts w:ascii="Symbol" w:hAnsi="Symbol" w:hint="default"/>
      </w:rPr>
    </w:lvl>
    <w:lvl w:ilvl="4" w:tplc="04150003" w:tentative="1">
      <w:start w:val="1"/>
      <w:numFmt w:val="bullet"/>
      <w:lvlText w:val="o"/>
      <w:lvlJc w:val="left"/>
      <w:pPr>
        <w:ind w:left="708" w:hanging="360"/>
      </w:pPr>
      <w:rPr>
        <w:rFonts w:ascii="Courier New" w:hAnsi="Courier New" w:cs="Courier New" w:hint="default"/>
      </w:rPr>
    </w:lvl>
    <w:lvl w:ilvl="5" w:tplc="04150005" w:tentative="1">
      <w:start w:val="1"/>
      <w:numFmt w:val="bullet"/>
      <w:lvlText w:val=""/>
      <w:lvlJc w:val="left"/>
      <w:pPr>
        <w:ind w:left="1428" w:hanging="360"/>
      </w:pPr>
      <w:rPr>
        <w:rFonts w:ascii="Wingdings" w:hAnsi="Wingdings" w:hint="default"/>
      </w:rPr>
    </w:lvl>
    <w:lvl w:ilvl="6" w:tplc="04150001" w:tentative="1">
      <w:start w:val="1"/>
      <w:numFmt w:val="bullet"/>
      <w:lvlText w:val=""/>
      <w:lvlJc w:val="left"/>
      <w:pPr>
        <w:ind w:left="2148" w:hanging="360"/>
      </w:pPr>
      <w:rPr>
        <w:rFonts w:ascii="Symbol" w:hAnsi="Symbol" w:hint="default"/>
      </w:rPr>
    </w:lvl>
    <w:lvl w:ilvl="7" w:tplc="04150003" w:tentative="1">
      <w:start w:val="1"/>
      <w:numFmt w:val="bullet"/>
      <w:lvlText w:val="o"/>
      <w:lvlJc w:val="left"/>
      <w:pPr>
        <w:ind w:left="2868" w:hanging="360"/>
      </w:pPr>
      <w:rPr>
        <w:rFonts w:ascii="Courier New" w:hAnsi="Courier New" w:cs="Courier New" w:hint="default"/>
      </w:rPr>
    </w:lvl>
    <w:lvl w:ilvl="8" w:tplc="04150005" w:tentative="1">
      <w:start w:val="1"/>
      <w:numFmt w:val="bullet"/>
      <w:lvlText w:val=""/>
      <w:lvlJc w:val="left"/>
      <w:pPr>
        <w:ind w:left="3588" w:hanging="360"/>
      </w:pPr>
      <w:rPr>
        <w:rFonts w:ascii="Wingdings" w:hAnsi="Wingdings" w:hint="default"/>
      </w:rPr>
    </w:lvl>
  </w:abstractNum>
  <w:num w:numId="1" w16cid:durableId="522403026">
    <w:abstractNumId w:val="0"/>
  </w:num>
  <w:num w:numId="2" w16cid:durableId="88179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F0"/>
    <w:rsid w:val="0000779E"/>
    <w:rsid w:val="000242C5"/>
    <w:rsid w:val="00037AE6"/>
    <w:rsid w:val="00086335"/>
    <w:rsid w:val="000D65A7"/>
    <w:rsid w:val="00107747"/>
    <w:rsid w:val="00135E2B"/>
    <w:rsid w:val="001C48B2"/>
    <w:rsid w:val="001E28DF"/>
    <w:rsid w:val="00212841"/>
    <w:rsid w:val="00234461"/>
    <w:rsid w:val="00235056"/>
    <w:rsid w:val="002D7E0F"/>
    <w:rsid w:val="002F6C99"/>
    <w:rsid w:val="003172F0"/>
    <w:rsid w:val="00355172"/>
    <w:rsid w:val="003865D8"/>
    <w:rsid w:val="00387B26"/>
    <w:rsid w:val="003A4CF3"/>
    <w:rsid w:val="003C4568"/>
    <w:rsid w:val="003F76BE"/>
    <w:rsid w:val="00420472"/>
    <w:rsid w:val="004254A8"/>
    <w:rsid w:val="004429EF"/>
    <w:rsid w:val="005211FC"/>
    <w:rsid w:val="00594F8C"/>
    <w:rsid w:val="005C645B"/>
    <w:rsid w:val="005D2AFF"/>
    <w:rsid w:val="005D50BE"/>
    <w:rsid w:val="005D6EAC"/>
    <w:rsid w:val="005F213B"/>
    <w:rsid w:val="00666372"/>
    <w:rsid w:val="006812B2"/>
    <w:rsid w:val="00696088"/>
    <w:rsid w:val="006A3273"/>
    <w:rsid w:val="006B3B9E"/>
    <w:rsid w:val="006C1894"/>
    <w:rsid w:val="006F587E"/>
    <w:rsid w:val="00776F0B"/>
    <w:rsid w:val="007A4592"/>
    <w:rsid w:val="007A685B"/>
    <w:rsid w:val="007C1A0A"/>
    <w:rsid w:val="007C45E8"/>
    <w:rsid w:val="0081183C"/>
    <w:rsid w:val="008219F1"/>
    <w:rsid w:val="00871F9B"/>
    <w:rsid w:val="00890777"/>
    <w:rsid w:val="008A2AF1"/>
    <w:rsid w:val="008E4282"/>
    <w:rsid w:val="00900A97"/>
    <w:rsid w:val="00967982"/>
    <w:rsid w:val="00980A9A"/>
    <w:rsid w:val="009913BB"/>
    <w:rsid w:val="009A5305"/>
    <w:rsid w:val="009B781D"/>
    <w:rsid w:val="009F4A0A"/>
    <w:rsid w:val="00A1196C"/>
    <w:rsid w:val="00A65E45"/>
    <w:rsid w:val="00A85C9B"/>
    <w:rsid w:val="00A91461"/>
    <w:rsid w:val="00AD1FD8"/>
    <w:rsid w:val="00AF519A"/>
    <w:rsid w:val="00B073A0"/>
    <w:rsid w:val="00B17F75"/>
    <w:rsid w:val="00B26739"/>
    <w:rsid w:val="00B30472"/>
    <w:rsid w:val="00B610D2"/>
    <w:rsid w:val="00B64287"/>
    <w:rsid w:val="00B72574"/>
    <w:rsid w:val="00B740C1"/>
    <w:rsid w:val="00BA41DD"/>
    <w:rsid w:val="00C00E87"/>
    <w:rsid w:val="00C06A6F"/>
    <w:rsid w:val="00C43F06"/>
    <w:rsid w:val="00C57B49"/>
    <w:rsid w:val="00C60991"/>
    <w:rsid w:val="00C7582D"/>
    <w:rsid w:val="00C9282D"/>
    <w:rsid w:val="00CA1B93"/>
    <w:rsid w:val="00CF441D"/>
    <w:rsid w:val="00D45D72"/>
    <w:rsid w:val="00D7034A"/>
    <w:rsid w:val="00D84020"/>
    <w:rsid w:val="00DC4AAB"/>
    <w:rsid w:val="00DD5350"/>
    <w:rsid w:val="00E137D0"/>
    <w:rsid w:val="00E17AEC"/>
    <w:rsid w:val="00EF7129"/>
    <w:rsid w:val="00F0383D"/>
    <w:rsid w:val="00F044B2"/>
    <w:rsid w:val="00F04EC1"/>
    <w:rsid w:val="00F31D7D"/>
    <w:rsid w:val="00F32EDF"/>
    <w:rsid w:val="00F50225"/>
    <w:rsid w:val="00F7365B"/>
    <w:rsid w:val="00FB37C2"/>
    <w:rsid w:val="00FC28E0"/>
    <w:rsid w:val="00FE1E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6999FBCF"/>
  <w15:docId w15:val="{B2DC9DFC-C6D7-428C-A82D-258BF084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472"/>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20472"/>
  </w:style>
  <w:style w:type="character" w:customStyle="1" w:styleId="NagwekZnak">
    <w:name w:val="Nagłówek Znak"/>
    <w:basedOn w:val="Domylnaczcionkaakapitu1"/>
    <w:rsid w:val="00420472"/>
  </w:style>
  <w:style w:type="character" w:customStyle="1" w:styleId="StopkaZnak">
    <w:name w:val="Stopka Znak"/>
    <w:basedOn w:val="Domylnaczcionkaakapitu1"/>
    <w:rsid w:val="00420472"/>
  </w:style>
  <w:style w:type="paragraph" w:customStyle="1" w:styleId="Nagwek1">
    <w:name w:val="Nagłówek1"/>
    <w:basedOn w:val="Normalny"/>
    <w:next w:val="Tekstpodstawowy"/>
    <w:rsid w:val="00420472"/>
    <w:pPr>
      <w:keepNext/>
      <w:spacing w:before="240" w:after="120"/>
    </w:pPr>
    <w:rPr>
      <w:rFonts w:ascii="Arial" w:eastAsia="Microsoft YaHei" w:hAnsi="Arial" w:cs="Mangal"/>
      <w:sz w:val="28"/>
      <w:szCs w:val="28"/>
    </w:rPr>
  </w:style>
  <w:style w:type="paragraph" w:styleId="Tekstpodstawowy">
    <w:name w:val="Body Text"/>
    <w:basedOn w:val="Normalny"/>
    <w:rsid w:val="00420472"/>
    <w:pPr>
      <w:spacing w:after="120"/>
    </w:pPr>
  </w:style>
  <w:style w:type="paragraph" w:styleId="Lista">
    <w:name w:val="List"/>
    <w:basedOn w:val="Tekstpodstawowy"/>
    <w:rsid w:val="00420472"/>
    <w:rPr>
      <w:rFonts w:cs="Mangal"/>
    </w:rPr>
  </w:style>
  <w:style w:type="paragraph" w:customStyle="1" w:styleId="Podpis1">
    <w:name w:val="Podpis1"/>
    <w:basedOn w:val="Normalny"/>
    <w:rsid w:val="00420472"/>
    <w:pPr>
      <w:suppressLineNumbers/>
      <w:spacing w:before="120" w:after="120"/>
    </w:pPr>
    <w:rPr>
      <w:rFonts w:cs="Mangal"/>
      <w:i/>
      <w:iCs/>
      <w:sz w:val="24"/>
      <w:szCs w:val="24"/>
    </w:rPr>
  </w:style>
  <w:style w:type="paragraph" w:customStyle="1" w:styleId="Indeks">
    <w:name w:val="Indeks"/>
    <w:basedOn w:val="Normalny"/>
    <w:rsid w:val="00420472"/>
    <w:pPr>
      <w:suppressLineNumbers/>
    </w:pPr>
    <w:rPr>
      <w:rFonts w:cs="Mangal"/>
    </w:rPr>
  </w:style>
  <w:style w:type="paragraph" w:styleId="Nagwek">
    <w:name w:val="header"/>
    <w:basedOn w:val="Normalny"/>
    <w:rsid w:val="00420472"/>
    <w:pPr>
      <w:spacing w:after="0" w:line="240" w:lineRule="auto"/>
    </w:pPr>
  </w:style>
  <w:style w:type="paragraph" w:styleId="Stopka">
    <w:name w:val="footer"/>
    <w:basedOn w:val="Normalny"/>
    <w:rsid w:val="00420472"/>
    <w:pPr>
      <w:spacing w:after="0" w:line="240" w:lineRule="auto"/>
    </w:pPr>
  </w:style>
  <w:style w:type="paragraph" w:styleId="Akapitzlist">
    <w:name w:val="List Paragraph"/>
    <w:basedOn w:val="Normalny"/>
    <w:uiPriority w:val="34"/>
    <w:qFormat/>
    <w:rsid w:val="00A1196C"/>
    <w:pPr>
      <w:suppressAutoHyphens w:val="0"/>
      <w:spacing w:after="160" w:line="259" w:lineRule="auto"/>
      <w:ind w:left="720"/>
      <w:contextualSpacing/>
    </w:pPr>
    <w:rPr>
      <w:rFonts w:asciiTheme="minorHAnsi" w:eastAsiaTheme="minorHAnsi" w:hAnsiTheme="minorHAnsi" w:cstheme="minorBidi"/>
      <w:kern w:val="2"/>
      <w:lang w:val="de-DE" w:eastAsia="en-US"/>
    </w:rPr>
  </w:style>
  <w:style w:type="character" w:styleId="Pogrubienie">
    <w:name w:val="Strong"/>
    <w:basedOn w:val="Domylnaczcionkaakapitu"/>
    <w:uiPriority w:val="22"/>
    <w:qFormat/>
    <w:rsid w:val="0081183C"/>
    <w:rPr>
      <w:b/>
      <w:bCs/>
    </w:rPr>
  </w:style>
  <w:style w:type="character" w:styleId="Odwoaniedokomentarza">
    <w:name w:val="annotation reference"/>
    <w:basedOn w:val="Domylnaczcionkaakapitu"/>
    <w:uiPriority w:val="99"/>
    <w:semiHidden/>
    <w:unhideWhenUsed/>
    <w:rsid w:val="0081183C"/>
    <w:rPr>
      <w:sz w:val="16"/>
      <w:szCs w:val="16"/>
    </w:rPr>
  </w:style>
  <w:style w:type="paragraph" w:styleId="Tekstkomentarza">
    <w:name w:val="annotation text"/>
    <w:basedOn w:val="Normalny"/>
    <w:link w:val="TekstkomentarzaZnak"/>
    <w:uiPriority w:val="99"/>
    <w:unhideWhenUsed/>
    <w:rsid w:val="0081183C"/>
    <w:pPr>
      <w:suppressAutoHyphens w:val="0"/>
      <w:spacing w:after="160" w:line="240" w:lineRule="auto"/>
    </w:pPr>
    <w:rPr>
      <w:rFonts w:asciiTheme="minorHAnsi" w:eastAsiaTheme="minorHAnsi" w:hAnsiTheme="minorHAnsi" w:cstheme="minorBidi"/>
      <w:kern w:val="2"/>
      <w:sz w:val="20"/>
      <w:szCs w:val="20"/>
      <w:lang w:val="de-DE" w:eastAsia="en-US"/>
      <w14:ligatures w14:val="standardContextual"/>
    </w:rPr>
  </w:style>
  <w:style w:type="character" w:customStyle="1" w:styleId="TekstkomentarzaZnak">
    <w:name w:val="Tekst komentarza Znak"/>
    <w:basedOn w:val="Domylnaczcionkaakapitu"/>
    <w:link w:val="Tekstkomentarza"/>
    <w:uiPriority w:val="99"/>
    <w:rsid w:val="0081183C"/>
    <w:rPr>
      <w:rFonts w:asciiTheme="minorHAnsi" w:eastAsiaTheme="minorHAnsi" w:hAnsiTheme="minorHAnsi" w:cstheme="minorBidi"/>
      <w:kern w:val="2"/>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1693</Words>
  <Characters>12007</Characters>
  <Application>Microsoft Office Word</Application>
  <DocSecurity>0</DocSecurity>
  <Lines>184</Lines>
  <Paragraphs>41</Paragraphs>
  <ScaleCrop>false</ScaleCrop>
  <HeadingPairs>
    <vt:vector size="2" baseType="variant">
      <vt:variant>
        <vt:lpstr>Tytuł</vt:lpstr>
      </vt:variant>
      <vt:variant>
        <vt:i4>1</vt:i4>
      </vt:variant>
    </vt:vector>
  </HeadingPairs>
  <TitlesOfParts>
    <vt:vector size="1" baseType="lpstr">
      <vt:lpstr/>
    </vt:vector>
  </TitlesOfParts>
  <Company>UEK</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Nesterak</dc:creator>
  <cp:keywords/>
  <cp:lastModifiedBy>Janusz Nesterak</cp:lastModifiedBy>
  <cp:revision>4</cp:revision>
  <cp:lastPrinted>1899-12-31T23:00:00Z</cp:lastPrinted>
  <dcterms:created xsi:type="dcterms:W3CDTF">2024-05-28T09:21:00Z</dcterms:created>
  <dcterms:modified xsi:type="dcterms:W3CDTF">2024-05-28T13:49:00Z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4b1255ed8305011d3e7675802d45260a78f0aa7678f36672a848b0c8a40579d7</vt:lpwstr>
  </property>
</Properties>
</file>